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r w:rsidRPr="00634854">
        <w:rPr>
          <w:rStyle w:val="SubtleEmphasis"/>
        </w:rPr>
        <w:t>Andrew Lytle at The Sewanee Review</w:t>
      </w:r>
    </w:p>
    <w:p w:rsidR="00615CFA" w:rsidRDefault="00634854" w:rsidP="00A824CB">
      <w:pPr>
        <w:pStyle w:val="Heading2"/>
      </w:pPr>
      <w:bookmarkStart w:id="2" w:name="_GoBack"/>
      <w:bookmarkEnd w:id="2"/>
      <w:r w:rsidRPr="00A824CB">
        <w:t>Atop</w:t>
      </w:r>
      <w:r>
        <w:t xml:space="preserve"> </w:t>
      </w:r>
      <w:proofErr w:type="spellStart"/>
      <w:r>
        <w:t>Monteagle</w:t>
      </w:r>
      <w:proofErr w:type="spellEnd"/>
      <w:r>
        <w:t xml:space="preserv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w:t>
      </w:r>
      <w:r w:rsidR="00031777">
        <w:br/>
      </w:r>
      <w:r>
        <w:lastRenderedPageBreak/>
        <w:t xml:space="preserve">Agrarian symposium </w:t>
      </w:r>
      <w:r>
        <w:rPr>
          <w:i/>
        </w:rPr>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proofErr w:type="gramStart"/>
      <w:r>
        <w:t>:  “</w:t>
      </w:r>
      <w:proofErr w:type="gramEnd"/>
      <w:r>
        <w:t xml:space="preserve">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w:t>
      </w:r>
      <w:proofErr w:type="gramStart"/>
      <w:r>
        <w:t>“ ‘</w:t>
      </w:r>
      <w:proofErr w:type="gramEnd"/>
      <w:r>
        <w:t xml:space="preserve">Jericho, Jericho, Jericho,’ skillfully </w:t>
      </w:r>
      <w:r>
        <w:lastRenderedPageBreak/>
        <w:t xml:space="preserve">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 xml:space="preserve">In early 1942, Alexander </w:t>
      </w:r>
      <w:proofErr w:type="spellStart"/>
      <w:r>
        <w:t>Guerry</w:t>
      </w:r>
      <w:proofErr w:type="spellEnd"/>
      <w:r>
        <w:t>,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w:t>
      </w:r>
      <w:proofErr w:type="spellStart"/>
      <w:r>
        <w:t>Guerry</w:t>
      </w:r>
      <w:proofErr w:type="spellEnd"/>
      <w:r>
        <w:t xml:space="preserve">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xml:space="preserve">, edited by the Fugitive-Agrarians </w:t>
      </w:r>
      <w:proofErr w:type="spellStart"/>
      <w:r>
        <w:t>Cleanth</w:t>
      </w:r>
      <w:proofErr w:type="spellEnd"/>
      <w:r>
        <w:t xml:space="preserve">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w:t>
      </w:r>
      <w:r>
        <w:lastRenderedPageBreak/>
        <w:t>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into a new era, inciting Tate in a letter on January 30, 1942, to “tell him [</w:t>
      </w:r>
      <w:proofErr w:type="spellStart"/>
      <w:r>
        <w:t>Guerry</w:t>
      </w:r>
      <w:proofErr w:type="spellEnd"/>
      <w:r>
        <w:t xml:space="preserve">]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w:t>
      </w:r>
      <w:proofErr w:type="spellStart"/>
      <w:r w:rsidR="009F1C42">
        <w:t>Sarcone</w:t>
      </w:r>
      <w:proofErr w:type="spellEnd"/>
      <w:r w:rsidR="009F1C42">
        <w:t xml:space="preserv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w:t>
      </w:r>
      <w:proofErr w:type="spellStart"/>
      <w:r>
        <w:t>Sarcone</w:t>
      </w:r>
      <w:proofErr w:type="spellEnd"/>
      <w:r>
        <w:t xml:space="preserv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w:t>
      </w:r>
      <w:r>
        <w:lastRenderedPageBreak/>
        <w:t>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 xml:space="preserve">Tate was also keenly aware of the opportunity </w:t>
      </w:r>
      <w:proofErr w:type="spellStart"/>
      <w:r>
        <w:t>Guerry</w:t>
      </w:r>
      <w:proofErr w:type="spellEnd"/>
      <w:r>
        <w:t xml:space="preserve"> held if he was willing to act.  In a letter to Lytle on February 6, 1942, he notes “If </w:t>
      </w:r>
      <w:proofErr w:type="spellStart"/>
      <w:r>
        <w:t>Guerry</w:t>
      </w:r>
      <w:proofErr w:type="spellEnd"/>
      <w:r>
        <w:t xml:space="preserve"> has any gumption at all, he ought to see that the collapse of the SR [</w:t>
      </w:r>
      <w:r w:rsidR="00B64440">
        <w:t>Southern</w:t>
      </w:r>
      <w:r>
        <w:t xml:space="preserve"> </w:t>
      </w:r>
      <w:proofErr w:type="gramStart"/>
      <w:r>
        <w:t>Review]. . .</w:t>
      </w:r>
      <w:proofErr w:type="gramEnd"/>
      <w:r>
        <w:t xml:space="preserve"> gives him the whole field for the Sewanee Review. A subsidy of about $3,000 to pay contributors would be all that is needed” (Young and </w:t>
      </w:r>
      <w:proofErr w:type="spellStart"/>
      <w:r>
        <w:t>Sarcone</w:t>
      </w:r>
      <w:proofErr w:type="spellEnd"/>
      <w:r>
        <w:t xml:space="preserve"> 183-4). </w:t>
      </w:r>
      <w:proofErr w:type="spellStart"/>
      <w:r>
        <w:t>Guerry</w:t>
      </w:r>
      <w:proofErr w:type="spellEnd"/>
      <w:r>
        <w:t xml:space="preserve"> was also aware that he could hope to establish the </w:t>
      </w:r>
      <w:r>
        <w:rPr>
          <w:i/>
        </w:rPr>
        <w:t>SR</w:t>
      </w:r>
      <w:r>
        <w:t xml:space="preserve"> as a real literary quarterly with a wide spread readership, lend</w:t>
      </w:r>
      <w:r w:rsidR="0083353C">
        <w:t xml:space="preserve">ing respect to the University. </w:t>
      </w:r>
      <w:proofErr w:type="spellStart"/>
      <w:r>
        <w:t>Guerry</w:t>
      </w:r>
      <w:proofErr w:type="spellEnd"/>
      <w:r>
        <w:t xml:space="preserve">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xml:space="preserve">, </w:t>
      </w:r>
      <w:proofErr w:type="spellStart"/>
      <w:r>
        <w:t>Guerry</w:t>
      </w:r>
      <w:proofErr w:type="spellEnd"/>
      <w:r>
        <w:t xml:space="preserve"> was simply unable to raise the money necessary to pay co</w:t>
      </w:r>
      <w:r w:rsidR="0083353C">
        <w:t xml:space="preserve">ntributors as Tate stipulated. </w:t>
      </w:r>
      <w:r>
        <w:t>Consequently</w:t>
      </w:r>
      <w:r w:rsidR="0083353C">
        <w:t xml:space="preserve">, Tate refused </w:t>
      </w:r>
      <w:proofErr w:type="spellStart"/>
      <w:r w:rsidR="0083353C">
        <w:t>Guerry’s</w:t>
      </w:r>
      <w:proofErr w:type="spellEnd"/>
      <w:r w:rsidR="0083353C">
        <w:t xml:space="preserve"> offer. </w:t>
      </w:r>
      <w:proofErr w:type="spellStart"/>
      <w:r>
        <w:t>Guerry’s</w:t>
      </w:r>
      <w:proofErr w:type="spellEnd"/>
      <w:r>
        <w:t xml:space="preserve"> desire to </w:t>
      </w:r>
      <w:r>
        <w:lastRenderedPageBreak/>
        <w:t xml:space="preserve">create a magazine to equal the </w:t>
      </w:r>
      <w:r w:rsidR="00B64440">
        <w:rPr>
          <w:i/>
        </w:rPr>
        <w:t>Southern</w:t>
      </w:r>
      <w:r>
        <w:rPr>
          <w:i/>
        </w:rPr>
        <w:t xml:space="preserve"> Review</w:t>
      </w:r>
      <w:r>
        <w:t xml:space="preserve"> no doubt influenced his decision to solicit </w:t>
      </w:r>
      <w:proofErr w:type="spellStart"/>
      <w:r>
        <w:t>Cleanth</w:t>
      </w:r>
      <w:proofErr w:type="spellEnd"/>
      <w:r>
        <w:t xml:space="preserve"> Brooks. Brooks declined, perhaps fearing that the </w:t>
      </w:r>
      <w:r>
        <w:rPr>
          <w:i/>
        </w:rPr>
        <w:t xml:space="preserve">SR </w:t>
      </w:r>
      <w:r>
        <w:t>would be subject to the same financial abandonmen</w:t>
      </w:r>
      <w:r w:rsidR="0083353C">
        <w:t xml:space="preserve">t he had endured at LSU. </w:t>
      </w:r>
      <w:r>
        <w:t xml:space="preserve">With </w:t>
      </w:r>
      <w:proofErr w:type="spellStart"/>
      <w:r>
        <w:t>Guerry’s</w:t>
      </w:r>
      <w:proofErr w:type="spellEnd"/>
      <w:r>
        <w:t xml:space="preserve"> options running low, Lytle, under heavy pressure from </w:t>
      </w:r>
      <w:proofErr w:type="spellStart"/>
      <w:r>
        <w:t>Guerry</w:t>
      </w:r>
      <w:proofErr w:type="spellEnd"/>
      <w:r>
        <w:t>,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w:t>
      </w:r>
      <w:proofErr w:type="spellStart"/>
      <w:r>
        <w:t>Sarcone</w:t>
      </w:r>
      <w:proofErr w:type="spellEnd"/>
      <w:r>
        <w:t xml:space="preserv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w:t>
      </w:r>
      <w:proofErr w:type="spellStart"/>
      <w:r>
        <w:t>Janssens</w:t>
      </w:r>
      <w:proofErr w:type="spellEnd"/>
      <w:r>
        <w:t xml:space="preserve"> notes in </w:t>
      </w:r>
      <w:r>
        <w:rPr>
          <w:i/>
        </w:rPr>
        <w:t>The American Literary Review</w:t>
      </w:r>
      <w:r>
        <w:t xml:space="preserve">, Lytle drew heavily from his (and Tate’s) literary connections to solicit poems by Wallace Stevens, George Marion O’Donnell and William Meredith and essays </w:t>
      </w:r>
      <w:r>
        <w:lastRenderedPageBreak/>
        <w:t xml:space="preserve">by Arthur </w:t>
      </w:r>
      <w:proofErr w:type="spellStart"/>
      <w:r>
        <w:t>Mizener</w:t>
      </w:r>
      <w:proofErr w:type="spellEnd"/>
      <w:r>
        <w:t xml:space="preserve"> and</w:t>
      </w:r>
      <w:r w:rsidR="0083353C">
        <w:t xml:space="preserve"> </w:t>
      </w:r>
      <w:proofErr w:type="spellStart"/>
      <w:r w:rsidR="0083353C">
        <w:t>Cleanth</w:t>
      </w:r>
      <w:proofErr w:type="spellEnd"/>
      <w:r w:rsidR="0083353C">
        <w:t xml:space="preserve"> Brooks (</w:t>
      </w:r>
      <w:proofErr w:type="spellStart"/>
      <w:r w:rsidR="0083353C">
        <w:t>Janssens</w:t>
      </w:r>
      <w:proofErr w:type="spellEnd"/>
      <w:r w:rsidR="0083353C">
        <w:t xml:space="preserve"> 278).</w:t>
      </w:r>
      <w:r>
        <w:t xml:space="preserve"> Despite his thorough account, </w:t>
      </w:r>
      <w:proofErr w:type="spellStart"/>
      <w:r>
        <w:t>Janssens</w:t>
      </w:r>
      <w:proofErr w:type="spellEnd"/>
      <w:r>
        <w:t xml:space="preserve">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his magazine” (</w:t>
      </w:r>
      <w:proofErr w:type="spellStart"/>
      <w:r w:rsidR="0083353C">
        <w:t>Janssens</w:t>
      </w:r>
      <w:proofErr w:type="spellEnd"/>
      <w:r w:rsidR="0083353C">
        <w:t xml:space="preserve">, 278). </w:t>
      </w:r>
      <w:r>
        <w:t xml:space="preserve">While there is some truth in this statement, </w:t>
      </w:r>
      <w:proofErr w:type="spellStart"/>
      <w:r>
        <w:t>Janssens</w:t>
      </w:r>
      <w:proofErr w:type="spellEnd"/>
      <w:r>
        <w:t xml:space="preserve">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lastRenderedPageBreak/>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 xml:space="preserve">What there is of it is private and accidental” (Foreword 196). This theme is firmly developed in Leatherman’s story, which centers on young Jim </w:t>
      </w:r>
      <w:proofErr w:type="spellStart"/>
      <w:r>
        <w:t>Daigre</w:t>
      </w:r>
      <w:proofErr w:type="spellEnd"/>
      <w:r>
        <w:t>, his loss of innocence and his meand</w:t>
      </w:r>
      <w:r w:rsidR="0083353C">
        <w:t xml:space="preserve">ering initiation into manhood. </w:t>
      </w:r>
      <w:r>
        <w:t xml:space="preserve">Jim’s older and worldly cousin, </w:t>
      </w:r>
      <w:proofErr w:type="spellStart"/>
      <w:r>
        <w:t>Corely</w:t>
      </w:r>
      <w:proofErr w:type="spellEnd"/>
      <w:r>
        <w:t>, exposes the boy’s inexperience by asking him about his small bottle of wine: “‘Bet you don’t know what this is</w:t>
      </w:r>
      <w:proofErr w:type="gramStart"/>
      <w:r>
        <w:t>’ ”</w:t>
      </w:r>
      <w:proofErr w:type="gramEnd"/>
      <w:r>
        <w:t>(SR 105 V 5</w:t>
      </w:r>
      <w:r w:rsidR="0083353C">
        <w:t xml:space="preserve">1) </w:t>
      </w:r>
      <w:proofErr w:type="spellStart"/>
      <w:r w:rsidR="0083353C">
        <w:t>Corely</w:t>
      </w:r>
      <w:proofErr w:type="spellEnd"/>
      <w:r w:rsidR="0083353C">
        <w:t xml:space="preserve">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 xml:space="preserve">And, slowly, that was all there was; this fear as real as any human being.  It destroyed all his memory, all his knowledge” (SR 111 V 51).  Jim’s </w:t>
      </w:r>
      <w:r>
        <w:lastRenderedPageBreak/>
        <w:t>entrance into the forest may be interpreted as a step toward his own initiation into society, while the bull itself represents the primal impetus toward knowledge. Immediately after Jim’s revelation he finds</w:t>
      </w:r>
      <w:r w:rsidR="0083353C">
        <w:t xml:space="preserve"> himself swimming with </w:t>
      </w:r>
      <w:proofErr w:type="spellStart"/>
      <w:r w:rsidR="0083353C">
        <w:t>Corely</w:t>
      </w:r>
      <w:proofErr w:type="spellEnd"/>
      <w:r w:rsidR="0083353C">
        <w:t xml:space="preserve">.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w:t>
      </w:r>
      <w:proofErr w:type="spellStart"/>
      <w:r>
        <w:t>Daigre’s</w:t>
      </w:r>
      <w:proofErr w:type="spellEnd"/>
      <w:r>
        <w:t xml:space="preserve"> first try at fishing. With his father unwilling to teach him how to fish on his own, Jim is pushed into learning by Corley. While he manages to hook an impressive catch, he is incapable of accepting his father’s pride as Corley and then his father </w:t>
      </w:r>
      <w:proofErr w:type="gramStart"/>
      <w:r>
        <w:t>re</w:t>
      </w:r>
      <w:r w:rsidR="0083353C">
        <w:t>tell</w:t>
      </w:r>
      <w:proofErr w:type="gramEnd"/>
      <w:r w:rsidR="0083353C">
        <w:t xml:space="preserve">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w:t>
      </w:r>
      <w:r>
        <w:lastRenderedPageBreak/>
        <w:t xml:space="preserve">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proofErr w:type="spellStart"/>
      <w:r>
        <w:t>Janssens</w:t>
      </w:r>
      <w:proofErr w:type="spellEnd"/>
      <w:r>
        <w:t xml:space="preserve"> also fails to take notice of Lytle’s further selections during</w:t>
      </w:r>
      <w:r w:rsidR="0083353C">
        <w:t xml:space="preserve"> his first editorial position. </w:t>
      </w:r>
      <w:r>
        <w:t xml:space="preserve">The spring 1944 issue, for example, includes a long section of Robert Penn Warren’s forthcoming novel </w:t>
      </w:r>
      <w:proofErr w:type="gramStart"/>
      <w:r>
        <w:rPr>
          <w:i/>
        </w:rPr>
        <w:t>At</w:t>
      </w:r>
      <w:proofErr w:type="gramEnd"/>
      <w:r>
        <w:rPr>
          <w:i/>
        </w:rPr>
        <w:t xml:space="preserve">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 xml:space="preserve">poems” (Young and </w:t>
      </w:r>
      <w:proofErr w:type="spellStart"/>
      <w:r w:rsidR="0083353C">
        <w:t>Sarcone</w:t>
      </w:r>
      <w:proofErr w:type="spellEnd"/>
      <w:r w:rsidR="0083353C">
        <w:t xml:space="preserve"> 197).</w:t>
      </w:r>
      <w:r>
        <w:t xml:space="preserve"> If anything, Lytle’s issues continued to increase in quality, presenting poetry by Lowell and John Berryman, and other essays from </w:t>
      </w:r>
      <w:proofErr w:type="spellStart"/>
      <w:r>
        <w:t>Cleanth</w:t>
      </w:r>
      <w:proofErr w:type="spellEnd"/>
      <w:r>
        <w:t xml:space="preserve">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 xml:space="preserve">h Tate’s standards. </w:t>
      </w:r>
      <w:proofErr w:type="spellStart"/>
      <w:r w:rsidR="00B36251">
        <w:t>J</w:t>
      </w:r>
      <w:r>
        <w:t>anssens</w:t>
      </w:r>
      <w:proofErr w:type="spellEnd"/>
      <w:r>
        <w:t xml:space="preserve"> does record, rather begrudgingly, Richard </w:t>
      </w:r>
      <w:proofErr w:type="spellStart"/>
      <w:r>
        <w:t>Croom</w:t>
      </w:r>
      <w:proofErr w:type="spellEnd"/>
      <w:r>
        <w:t xml:space="preserve">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w:t>
      </w:r>
      <w:proofErr w:type="spellStart"/>
      <w:r>
        <w:t>Janssens</w:t>
      </w:r>
      <w:proofErr w:type="spellEnd"/>
      <w:r>
        <w:t xml:space="preserve">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w:t>
      </w:r>
      <w:proofErr w:type="spellStart"/>
      <w:r>
        <w:t>Janssens</w:t>
      </w:r>
      <w:proofErr w:type="spellEnd"/>
      <w:r>
        <w:t xml:space="preserve"> 279). This time Tate accepted the offer and </w:t>
      </w:r>
      <w:r>
        <w:lastRenderedPageBreak/>
        <w:t xml:space="preserve">was able to combine friendly donations along with a government grant secured by </w:t>
      </w:r>
      <w:proofErr w:type="spellStart"/>
      <w:r>
        <w:t>Guerry</w:t>
      </w:r>
      <w:proofErr w:type="spellEnd"/>
      <w:r>
        <w:t xml:space="preserve">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w:t>
      </w:r>
      <w:proofErr w:type="spellStart"/>
      <w:r>
        <w:t>Daigre</w:t>
      </w:r>
      <w:proofErr w:type="spellEnd"/>
      <w:r>
        <w:t xml:space="preserv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w:t>
      </w:r>
      <w:proofErr w:type="gramStart"/>
      <w:r>
        <w:t>….the</w:t>
      </w:r>
      <w:proofErr w:type="gramEnd"/>
      <w:r>
        <w:t xml:space="preserv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lastRenderedPageBreak/>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proofErr w:type="spellStart"/>
      <w:r w:rsidR="00564382">
        <w:t>Daigre</w:t>
      </w:r>
      <w:proofErr w:type="spellEnd"/>
      <w:r w:rsidR="00564382">
        <w:t xml:space="preserv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proofErr w:type="spellStart"/>
      <w:r>
        <w:rPr>
          <w:i/>
        </w:rPr>
        <w:t>chitling</w:t>
      </w:r>
      <w:proofErr w:type="spellEnd"/>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w:t>
      </w:r>
      <w:r w:rsidR="00564382">
        <w:lastRenderedPageBreak/>
        <w:t xml:space="preserve">it. </w:t>
      </w:r>
      <w:r>
        <w:t>And then I realized that she had done what any first-rate artist always does—she had made something more essential than life but resembling it</w:t>
      </w:r>
      <w:proofErr w:type="gramStart"/>
      <w:r>
        <w:t>. . . .</w:t>
      </w:r>
      <w:proofErr w:type="gramEnd"/>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w:t>
      </w:r>
      <w:proofErr w:type="spellStart"/>
      <w:r>
        <w:t>Lytles</w:t>
      </w:r>
      <w:proofErr w:type="spellEnd"/>
      <w:r>
        <w:t xml:space="preserve">”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w:t>
      </w:r>
      <w:proofErr w:type="gramStart"/>
      <w:r>
        <w:t>….Cognizant</w:t>
      </w:r>
      <w:proofErr w:type="gramEnd"/>
      <w:r>
        <w:t xml:space="preserve">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w:t>
      </w:r>
      <w:r>
        <w:lastRenderedPageBreak/>
        <w:t xml:space="preserve">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w:t>
      </w:r>
      <w:proofErr w:type="gramStart"/>
      <w:r>
        <w:t>….I</w:t>
      </w:r>
      <w:proofErr w:type="gramEnd"/>
      <w:r>
        <w:t xml:space="preserve">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lastRenderedPageBreak/>
        <w:t>After O’Connor graduated from</w:t>
      </w:r>
      <w:r w:rsidR="00615CFA">
        <w:t xml:space="preserve"> Iowa, having accepted an invitation to the then fledgling artists’ colony </w:t>
      </w:r>
      <w:proofErr w:type="spellStart"/>
      <w:r w:rsidR="00615CFA">
        <w:t>Yaddo</w:t>
      </w:r>
      <w:proofErr w:type="spellEnd"/>
      <w:r w:rsidR="00615CFA">
        <w:t>,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proofErr w:type="spellStart"/>
      <w:r>
        <w:rPr>
          <w:i/>
        </w:rPr>
        <w:t>Buckdancer’s</w:t>
      </w:r>
      <w:proofErr w:type="spellEnd"/>
      <w:r>
        <w:rPr>
          <w:i/>
        </w:rPr>
        <w:t xml:space="preserve"> Choice</w:t>
      </w:r>
      <w:r w:rsidR="002918BC">
        <w:t xml:space="preserve"> in 1965. </w:t>
      </w:r>
      <w:r>
        <w:t xml:space="preserve">Dickey’s admiration for Lytle transcended a traditional friendship, </w:t>
      </w:r>
      <w:r>
        <w:lastRenderedPageBreak/>
        <w:t>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w:t>
      </w:r>
      <w:proofErr w:type="gramStart"/>
      <w:r w:rsidR="00387734">
        <w:t xml:space="preserve">supposedly)  </w:t>
      </w:r>
      <w:r>
        <w:t>coarsely</w:t>
      </w:r>
      <w:proofErr w:type="gramEnd"/>
      <w:r>
        <w:t xml:space="preserve">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xml:space="preserve">, to the </w:t>
      </w:r>
      <w:proofErr w:type="spellStart"/>
      <w:r>
        <w:t>Fitzgeralds</w:t>
      </w:r>
      <w:proofErr w:type="spellEnd"/>
      <w:r>
        <w:t>,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w:t>
      </w:r>
      <w:r>
        <w:lastRenderedPageBreak/>
        <w:t>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 xml:space="preserve">ok that long” (Fitzgerald </w:t>
      </w:r>
      <w:r w:rsidR="0034690E">
        <w:lastRenderedPageBreak/>
        <w:t>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w:t>
      </w:r>
      <w:r>
        <w:lastRenderedPageBreak/>
        <w:t>(Editorial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w:t>
      </w:r>
      <w:proofErr w:type="spellStart"/>
      <w:r>
        <w:t>some times</w:t>
      </w:r>
      <w:proofErr w:type="spellEnd"/>
      <w:r>
        <w:t xml:space="preserve">.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w:t>
      </w:r>
      <w:proofErr w:type="spellStart"/>
      <w:r>
        <w:t>Mizener</w:t>
      </w:r>
      <w:proofErr w:type="spellEnd"/>
      <w:r>
        <w:t xml:space="preserve">,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 xml:space="preserve">“Whether Mr. Dickey’s essay belongs or not, I am glad it is there; the problem [racism] is there, everywhere, but you almost never find other poets writing about it, let alone </w:t>
      </w:r>
      <w:r>
        <w:lastRenderedPageBreak/>
        <w:t>writing with su</w:t>
      </w:r>
      <w:r w:rsidR="0034690E">
        <w:t xml:space="preserve">ch integrity” (SR 166 V 70). </w:t>
      </w:r>
      <w:r>
        <w:t>Leatherman becomes even more vocal over Lytle’s lack of recognition in the anthology and the poor handling of the one essay included about Lytle’s work</w:t>
      </w:r>
      <w:proofErr w:type="gramStart"/>
      <w:r>
        <w:t>:  “</w:t>
      </w:r>
      <w:proofErr w:type="gramEnd"/>
      <w:r>
        <w:t>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The summer issue saw Dickey gave a typically dualistic review of the poet John Logan, full of elegant praise and urbane criticism</w:t>
      </w:r>
      <w:proofErr w:type="gramStart"/>
      <w:r>
        <w:t>:  “</w:t>
      </w:r>
      <w:proofErr w:type="gramEnd"/>
      <w:r>
        <w:t xml:space="preserve">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w:t>
      </w:r>
      <w:proofErr w:type="spellStart"/>
      <w:r>
        <w:t>snottiness</w:t>
      </w:r>
      <w:proofErr w:type="spellEnd"/>
      <w:r>
        <w:t xml:space="preserve">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 xml:space="preserve">Lytle proposed the idea of an issue devoted to O’Connor that </w:t>
      </w:r>
      <w:r>
        <w:lastRenderedPageBreak/>
        <w:t>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knowing you think it works</w:t>
      </w:r>
      <w:proofErr w:type="gramStart"/>
      <w:r>
        <w:t>….There</w:t>
      </w:r>
      <w:proofErr w:type="gramEnd"/>
      <w:r>
        <w:t xml:space="preserv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w:t>
      </w:r>
      <w:r>
        <w:lastRenderedPageBreak/>
        <w:t xml:space="preserve">issue, centering on Peter Taylor, another friend of his, and his story “At the Drugstore,” with three pieces of accompanying criticism on Taylor.  </w:t>
      </w:r>
    </w:p>
    <w:p w:rsidR="00615CFA" w:rsidRDefault="00615CFA">
      <w:pPr>
        <w:spacing w:line="480" w:lineRule="auto"/>
        <w:ind w:firstLine="720"/>
      </w:pPr>
      <w:r>
        <w:t>1963 saw two pieces from Lytle’s former students, Madison Jones and Smith Kirkpatrick, verse from Dickey, and another piece on O’Connor, this time from Brainerd Cheney.  Late in the year Lytle solicited another story from O’Connor, telling her that her contribution would be essential</w:t>
      </w:r>
      <w:proofErr w:type="gramStart"/>
      <w:r>
        <w:t>:  “</w:t>
      </w:r>
      <w:proofErr w:type="gramEnd"/>
      <w:r>
        <w:t>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w:t>
      </w:r>
      <w:proofErr w:type="gramStart"/>
      <w:r>
        <w:t>. . . .I</w:t>
      </w:r>
      <w:proofErr w:type="gramEnd"/>
      <w:r>
        <w:t xml:space="preserve">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w:t>
      </w:r>
      <w:r>
        <w:lastRenderedPageBreak/>
        <w:t>it</w:t>
      </w:r>
      <w:r w:rsidR="0034690E">
        <w:t>” (Sewanee Archives 11/1/1961).</w:t>
      </w:r>
      <w:r>
        <w:t xml:space="preserve"> Leatherman had, in fact, once attempted to persuade John Palmer for a piece on the theater for the </w:t>
      </w:r>
      <w:r>
        <w:rPr>
          <w:i/>
        </w:rPr>
        <w:t>SR</w:t>
      </w:r>
      <w:r w:rsidR="0034690E">
        <w:t xml:space="preserve">. </w:t>
      </w:r>
      <w:r>
        <w:t>Palmer responded most negatively: “I’m afraid I don’t think too much of your suggestion of a theater [issue]</w:t>
      </w:r>
      <w:proofErr w:type="gramStart"/>
      <w:r>
        <w:t>. . . .I</w:t>
      </w:r>
      <w:proofErr w:type="gramEnd"/>
      <w:r>
        <w:t xml:space="preserve">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w:t>
      </w:r>
      <w:proofErr w:type="gramStart"/>
      <w:r>
        <w:t>service</w:t>
      </w:r>
      <w:proofErr w:type="gramEnd"/>
      <w:r>
        <w:t xml:space="preserv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w:t>
      </w:r>
      <w:proofErr w:type="spellStart"/>
      <w:r>
        <w:rPr>
          <w:i/>
        </w:rPr>
        <w:t>Buckdancer’s</w:t>
      </w:r>
      <w:proofErr w:type="spellEnd"/>
      <w:r>
        <w:rPr>
          <w:i/>
        </w:rPr>
        <w:t xml:space="preserve"> Choice </w:t>
      </w:r>
      <w:r>
        <w:t xml:space="preserve">and his immensely popular novel </w:t>
      </w:r>
      <w:r>
        <w:rPr>
          <w:i/>
        </w:rPr>
        <w:t xml:space="preserve">Deliverance </w:t>
      </w:r>
      <w:r>
        <w:t xml:space="preserve">(1970), of later Hollywood fame, ended such discussions.  Lytle did publish criticism on Dickey from H.L. </w:t>
      </w:r>
      <w:proofErr w:type="spellStart"/>
      <w:r>
        <w:t>Weatherby</w:t>
      </w:r>
      <w:proofErr w:type="spellEnd"/>
      <w:r>
        <w:t xml:space="preserve"> the next year (and, in </w:t>
      </w:r>
      <w:r>
        <w:lastRenderedPageBreak/>
        <w:t xml:space="preserve">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 xml:space="preserve">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w:t>
      </w:r>
      <w:proofErr w:type="spellStart"/>
      <w:r>
        <w:t>Prunty</w:t>
      </w:r>
      <w:proofErr w:type="spellEnd"/>
      <w:r>
        <w:t xml:space="preserve">, William Ralston (his assistant editor), Kathleen </w:t>
      </w:r>
      <w:proofErr w:type="spellStart"/>
      <w:r>
        <w:t>Raine</w:t>
      </w:r>
      <w:proofErr w:type="spellEnd"/>
      <w:r>
        <w:t>,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 xml:space="preserve">Tate himself promoted the concept in his essay on the management of literary quarterlies, declaring that a strong core of regular contributors </w:t>
      </w:r>
      <w:proofErr w:type="gramStart"/>
      <w:r>
        <w:t>were</w:t>
      </w:r>
      <w:proofErr w:type="gramEnd"/>
      <w:r>
        <w:t xml:space="preserv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w:t>
      </w:r>
      <w:r w:rsidR="0034690E">
        <w:lastRenderedPageBreak/>
        <w:t xml:space="preserve">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w:t>
      </w:r>
      <w:proofErr w:type="gramStart"/>
      <w:r>
        <w:t>….the</w:t>
      </w:r>
      <w:proofErr w:type="gramEnd"/>
      <w:r>
        <w:t xml:space="preserv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t>
      </w:r>
      <w:r>
        <w:lastRenderedPageBreak/>
        <w:t xml:space="preserve">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F55EB" w:rsidRDefault="00736C76" w:rsidP="00EF55EB">
      <w:pPr>
        <w:jc w:val="center"/>
      </w:pPr>
      <w:r>
        <w:t xml:space="preserve">[Document excerpt provided courtesy of William Fisher </w:t>
      </w:r>
      <w:r>
        <w:rPr>
          <w:rFonts w:cs="Times"/>
        </w:rPr>
        <w:t>©</w:t>
      </w:r>
      <w:r w:rsidR="009259EF">
        <w:t xml:space="preserve"> 2009]</w:t>
      </w:r>
    </w:p>
    <w:p w:rsidR="00EF55EB" w:rsidRDefault="00EF55EB" w:rsidP="00EF55EB">
      <w:pPr>
        <w:jc w:val="center"/>
      </w:pPr>
    </w:p>
    <w:p w:rsidR="00EF55EB" w:rsidRDefault="00EF55EB" w:rsidP="00EF55EB">
      <w:pPr>
        <w:jc w:val="center"/>
      </w:pPr>
    </w:p>
    <w:p w:rsidR="00615CFA" w:rsidRPr="0046759B" w:rsidRDefault="00615CFA" w:rsidP="00EF55EB">
      <w:pPr>
        <w:jc w:val="center"/>
        <w:rPr>
          <w:b/>
        </w:rPr>
      </w:pPr>
      <w:r w:rsidRPr="0046759B">
        <w:rPr>
          <w:b/>
        </w:rPr>
        <w:lastRenderedPageBreak/>
        <w:t>Works Cited</w:t>
      </w:r>
    </w:p>
    <w:p w:rsidR="0046759B" w:rsidRDefault="0046759B" w:rsidP="00EF55EB">
      <w:pPr>
        <w:jc w:val="center"/>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proofErr w:type="spellStart"/>
      <w:r>
        <w:t>Janssens</w:t>
      </w:r>
      <w:proofErr w:type="spellEnd"/>
      <w:r>
        <w:t xml:space="preserve">,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t>
      </w:r>
      <w:proofErr w:type="gramStart"/>
      <w:r>
        <w:rPr>
          <w:u w:val="single"/>
        </w:rPr>
        <w:t>With</w:t>
      </w:r>
      <w:proofErr w:type="gramEnd"/>
      <w:r>
        <w:rPr>
          <w:u w:val="single"/>
        </w:rPr>
        <w:t xml:space="preserve">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w:t>
      </w:r>
      <w:proofErr w:type="spellStart"/>
      <w:r>
        <w:t>Sarcone</w:t>
      </w:r>
      <w:proofErr w:type="spellEnd"/>
      <w:r>
        <w:t xml:space="preserv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5D7D58">
      <w:headerReference w:type="default" r:id="rId8"/>
      <w:headerReference w:type="firs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7" w:rsidRDefault="00DB5667">
      <w:r>
        <w:separator/>
      </w:r>
    </w:p>
  </w:endnote>
  <w:endnote w:type="continuationSeparator" w:id="0">
    <w:p w:rsidR="00DB5667" w:rsidRDefault="00D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7" w:rsidRDefault="00DB5667">
      <w:r>
        <w:separator/>
      </w:r>
    </w:p>
  </w:footnote>
  <w:footnote w:type="continuationSeparator" w:id="0">
    <w:p w:rsidR="00DB5667" w:rsidRDefault="00DB5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58" w:rsidRDefault="005D7D58">
    <w:pPr>
      <w:pStyle w:val="Header"/>
      <w:jc w:val="right"/>
    </w:pPr>
  </w:p>
  <w:p w:rsidR="00E175C4" w:rsidRDefault="00E175C4" w:rsidP="00E175C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38" w:rsidRDefault="001D0E38" w:rsidP="005D7D58">
    <w:pPr>
      <w:pStyle w:val="Header"/>
      <w:jc w:val="right"/>
    </w:pPr>
  </w:p>
  <w:p w:rsidR="001D0E38" w:rsidRDefault="001D0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B2D6F"/>
    <w:rsid w:val="000D295E"/>
    <w:rsid w:val="000F3C77"/>
    <w:rsid w:val="00111A27"/>
    <w:rsid w:val="0012754E"/>
    <w:rsid w:val="00161DA4"/>
    <w:rsid w:val="001A631A"/>
    <w:rsid w:val="001C429F"/>
    <w:rsid w:val="001D0E38"/>
    <w:rsid w:val="00256816"/>
    <w:rsid w:val="00260797"/>
    <w:rsid w:val="002918BC"/>
    <w:rsid w:val="002B38D1"/>
    <w:rsid w:val="002C5C73"/>
    <w:rsid w:val="002F2339"/>
    <w:rsid w:val="00326D56"/>
    <w:rsid w:val="00344DBF"/>
    <w:rsid w:val="0034690E"/>
    <w:rsid w:val="00387734"/>
    <w:rsid w:val="00391C02"/>
    <w:rsid w:val="003E01B8"/>
    <w:rsid w:val="00427781"/>
    <w:rsid w:val="004423A0"/>
    <w:rsid w:val="00443B21"/>
    <w:rsid w:val="0046759B"/>
    <w:rsid w:val="004753FB"/>
    <w:rsid w:val="00495F93"/>
    <w:rsid w:val="004C1474"/>
    <w:rsid w:val="005559B3"/>
    <w:rsid w:val="00564382"/>
    <w:rsid w:val="005A58C8"/>
    <w:rsid w:val="005D0D88"/>
    <w:rsid w:val="005D67F7"/>
    <w:rsid w:val="005D7D58"/>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8F6B16"/>
    <w:rsid w:val="00910338"/>
    <w:rsid w:val="00916F91"/>
    <w:rsid w:val="009245F2"/>
    <w:rsid w:val="009259EF"/>
    <w:rsid w:val="009445E8"/>
    <w:rsid w:val="0095021B"/>
    <w:rsid w:val="009678A6"/>
    <w:rsid w:val="009A10C9"/>
    <w:rsid w:val="009B7754"/>
    <w:rsid w:val="009F1C42"/>
    <w:rsid w:val="00A102FE"/>
    <w:rsid w:val="00A824CB"/>
    <w:rsid w:val="00AA280D"/>
    <w:rsid w:val="00AA69BF"/>
    <w:rsid w:val="00AE7C0F"/>
    <w:rsid w:val="00B36251"/>
    <w:rsid w:val="00B64440"/>
    <w:rsid w:val="00BE3D76"/>
    <w:rsid w:val="00C251B9"/>
    <w:rsid w:val="00C71D60"/>
    <w:rsid w:val="00C80B7A"/>
    <w:rsid w:val="00CB0001"/>
    <w:rsid w:val="00D51F59"/>
    <w:rsid w:val="00D849A3"/>
    <w:rsid w:val="00D906EA"/>
    <w:rsid w:val="00D92632"/>
    <w:rsid w:val="00DA3045"/>
    <w:rsid w:val="00DB5667"/>
    <w:rsid w:val="00E07A89"/>
    <w:rsid w:val="00E175C4"/>
    <w:rsid w:val="00E4243C"/>
    <w:rsid w:val="00ED2CB0"/>
    <w:rsid w:val="00EF55EB"/>
    <w:rsid w:val="00F348AB"/>
    <w:rsid w:val="00F60251"/>
    <w:rsid w:val="00F63002"/>
    <w:rsid w:val="00FA422B"/>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175C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4772A-6426-411C-86EC-F3232289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9575</Words>
  <Characters>48739</Characters>
  <Application>Microsoft Office Word</Application>
  <DocSecurity>0</DocSecurity>
  <Lines>406</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Julia Fillory</cp:lastModifiedBy>
  <cp:revision>12</cp:revision>
  <dcterms:created xsi:type="dcterms:W3CDTF">2015-12-14T20:14:00Z</dcterms:created>
  <dcterms:modified xsi:type="dcterms:W3CDTF">2015-12-16T16:22:00Z</dcterms:modified>
</cp:coreProperties>
</file>